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66A69427"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E92025">
        <w:rPr>
          <w:rFonts w:ascii="Times New Roman" w:hAnsi="Times New Roman"/>
        </w:rPr>
        <w:t>29</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366689AE"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w:t>
      </w:r>
      <w:r w:rsidR="00364EE2">
        <w:rPr>
          <w:rFonts w:ascii="Times New Roman" w:hAnsi="Times New Roman"/>
        </w:rPr>
        <w:t>3</w:t>
      </w:r>
      <w:r>
        <w:rPr>
          <w:rFonts w:ascii="Times New Roman" w:hAnsi="Times New Roman"/>
        </w:rPr>
        <w:t xml:space="preserve">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68E841AB" w:rsidR="005853B8" w:rsidRPr="002B4178" w:rsidRDefault="3827A91B" w:rsidP="00E92025">
      <w:pPr>
        <w:spacing w:after="0"/>
        <w:ind w:left="851"/>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2B4178">
        <w:rPr>
          <w:rFonts w:ascii="Times New Roman" w:hAnsi="Times New Roman"/>
          <w:b/>
          <w:bCs/>
          <w:i/>
          <w:iCs/>
        </w:rPr>
        <w:t>ZZVZ</w:t>
      </w:r>
      <w:r w:rsidRPr="3827A91B">
        <w:rPr>
          <w:rFonts w:ascii="Times New Roman" w:hAnsi="Times New Roman"/>
        </w:rPr>
        <w:t xml:space="preserve">“) na zakázku s názvem </w:t>
      </w:r>
      <w:r w:rsidRPr="00E92025">
        <w:rPr>
          <w:rFonts w:ascii="Times New Roman" w:hAnsi="Times New Roman" w:cs="Times New Roman"/>
        </w:rPr>
        <w:t>„</w:t>
      </w:r>
      <w:r w:rsidR="00E92025" w:rsidRPr="00E92025">
        <w:rPr>
          <w:rFonts w:ascii="Times New Roman" w:hAnsi="Times New Roman" w:cs="Times New Roman"/>
          <w:b/>
        </w:rPr>
        <w:t xml:space="preserve">FAF UK – </w:t>
      </w:r>
      <w:r w:rsidR="00364EE2" w:rsidRPr="00821DA6">
        <w:rPr>
          <w:rFonts w:ascii="Times New Roman" w:hAnsi="Times New Roman" w:cs="Times New Roman"/>
          <w:b/>
          <w:bCs/>
        </w:rPr>
        <w:t>Systém pro minimálně invazivní srdeční katetrizaci laboratorních zvířat</w:t>
      </w:r>
      <w:r w:rsidR="009A6AE9" w:rsidRPr="00E92025">
        <w:rPr>
          <w:rFonts w:ascii="Times New Roman" w:hAnsi="Times New Roman" w:cs="Times New Roman"/>
          <w:b/>
          <w:bCs/>
        </w:rPr>
        <w:t>“</w:t>
      </w:r>
      <w:r w:rsidR="00E32546" w:rsidRPr="00E92025">
        <w:rPr>
          <w:rFonts w:ascii="Times New Roman" w:hAnsi="Times New Roman" w:cs="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0BEE5716" w:rsidR="009A6AE9" w:rsidRPr="00900F54" w:rsidRDefault="009A6AE9" w:rsidP="00C51BDB">
      <w:pPr>
        <w:pStyle w:val="Odstavecseseznamem"/>
        <w:spacing w:after="0"/>
        <w:ind w:left="851"/>
        <w:rPr>
          <w:rFonts w:ascii="Times New Roman" w:hAnsi="Times New Roman" w:cs="Times New Roman"/>
          <w:b/>
          <w:sz w:val="24"/>
          <w:szCs w:val="24"/>
        </w:rPr>
      </w:pPr>
      <w:r w:rsidRPr="00900F54">
        <w:rPr>
          <w:rFonts w:ascii="Times New Roman" w:hAnsi="Times New Roman" w:cs="Times New Roman"/>
          <w:b/>
          <w:sz w:val="24"/>
          <w:szCs w:val="24"/>
        </w:rPr>
        <w:t xml:space="preserve">- </w:t>
      </w:r>
      <w:r w:rsidR="00364EE2">
        <w:rPr>
          <w:rFonts w:ascii="Times New Roman" w:hAnsi="Times New Roman" w:cs="Times New Roman"/>
          <w:b/>
          <w:bCs/>
        </w:rPr>
        <w:t>s</w:t>
      </w:r>
      <w:r w:rsidR="00364EE2" w:rsidRPr="00821DA6">
        <w:rPr>
          <w:rFonts w:ascii="Times New Roman" w:hAnsi="Times New Roman" w:cs="Times New Roman"/>
          <w:b/>
          <w:bCs/>
        </w:rPr>
        <w:t>ystém pro minimálně invazivní srdeční katetrizaci laboratorních zvířat</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98ECF47"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C51BDB">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6C81390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752BC8">
        <w:rPr>
          <w:rFonts w:ascii="Times New Roman" w:hAnsi="Times New Roman"/>
          <w:b/>
          <w:bCs/>
        </w:rPr>
        <w:t>10</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14D7389C"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0"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0"/>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48D32CB2" w:rsidR="005853B8" w:rsidRPr="008003FC" w:rsidRDefault="00A625A3" w:rsidP="008003FC">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3827A91B" w:rsidRPr="008003FC">
        <w:rPr>
          <w:rFonts w:ascii="Times New Roman" w:hAnsi="Times New Roman"/>
        </w:rPr>
        <w:t>.</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lastRenderedPageBreak/>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1"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1"/>
    <w:p w14:paraId="2A21E10B" w14:textId="77777777" w:rsidR="00752BC8" w:rsidRDefault="00752BC8" w:rsidP="00272C71">
      <w:pPr>
        <w:ind w:firstLine="142"/>
        <w:rPr>
          <w:rFonts w:ascii="Times New Roman" w:hAnsi="Times New Roman" w:cs="Times New Roman"/>
          <w:b/>
          <w:bCs/>
        </w:rPr>
      </w:pPr>
      <w:r w:rsidRPr="00752BC8">
        <w:rPr>
          <w:rFonts w:ascii="Times New Roman" w:hAnsi="Times New Roman" w:cs="Times New Roman"/>
          <w:b/>
          <w:bCs/>
        </w:rPr>
        <w:t>doc. PharmDr. Jana Pourová, Ph.D.</w:t>
      </w:r>
      <w:r w:rsidR="00386335" w:rsidRPr="00DE5F4C">
        <w:rPr>
          <w:rFonts w:ascii="Times New Roman" w:hAnsi="Times New Roman" w:cs="Times New Roman"/>
          <w:b/>
          <w:bCs/>
        </w:rPr>
        <w:t>,</w:t>
      </w:r>
      <w:r w:rsidR="00751E2C" w:rsidRPr="00DE5F4C">
        <w:rPr>
          <w:rFonts w:ascii="Times New Roman" w:hAnsi="Times New Roman" w:cs="Times New Roman"/>
          <w:b/>
          <w:bCs/>
        </w:rPr>
        <w:t xml:space="preserve"> e-m</w:t>
      </w:r>
      <w:r w:rsidR="00404221" w:rsidRPr="00DE5F4C">
        <w:rPr>
          <w:rFonts w:ascii="Times New Roman" w:hAnsi="Times New Roman" w:cs="Times New Roman"/>
          <w:b/>
          <w:bCs/>
        </w:rPr>
        <w:t>ail:</w:t>
      </w:r>
      <w:r>
        <w:rPr>
          <w:rFonts w:ascii="Times New Roman" w:hAnsi="Times New Roman" w:cs="Times New Roman"/>
          <w:b/>
          <w:bCs/>
        </w:rPr>
        <w:t xml:space="preserve"> </w:t>
      </w:r>
      <w:hyperlink r:id="rId8" w:history="1">
        <w:r w:rsidRPr="00752BC8">
          <w:rPr>
            <w:rFonts w:ascii="Times New Roman" w:hAnsi="Times New Roman" w:cs="Times New Roman"/>
            <w:b/>
            <w:bCs/>
          </w:rPr>
          <w:t>jana.pourova@faf.cuni.cz</w:t>
        </w:r>
      </w:hyperlink>
      <w:r w:rsidR="00751E2C" w:rsidRPr="00DE5F4C">
        <w:rPr>
          <w:rFonts w:ascii="Times New Roman" w:hAnsi="Times New Roman" w:cs="Times New Roman"/>
          <w:b/>
          <w:bCs/>
        </w:rPr>
        <w:t xml:space="preserve">; </w:t>
      </w:r>
    </w:p>
    <w:p w14:paraId="573DCB37" w14:textId="539C3173" w:rsidR="005853B8" w:rsidRPr="00DE5F4C" w:rsidRDefault="00751E2C" w:rsidP="00272C71">
      <w:pPr>
        <w:ind w:firstLine="142"/>
        <w:rPr>
          <w:rFonts w:ascii="Times New Roman" w:hAnsi="Times New Roman" w:cs="Times New Roman"/>
        </w:rPr>
      </w:pPr>
      <w:r w:rsidRPr="00DE5F4C">
        <w:rPr>
          <w:rFonts w:ascii="Times New Roman" w:hAnsi="Times New Roman" w:cs="Times New Roman"/>
          <w:b/>
          <w:bCs/>
        </w:rPr>
        <w:t>tel: + 420 495</w:t>
      </w:r>
      <w:r w:rsidR="00DA5940" w:rsidRPr="00DE5F4C">
        <w:rPr>
          <w:rFonts w:ascii="Times New Roman" w:hAnsi="Times New Roman" w:cs="Times New Roman"/>
          <w:b/>
          <w:bCs/>
        </w:rPr>
        <w:t> </w:t>
      </w:r>
      <w:r w:rsidRPr="00DE5F4C">
        <w:rPr>
          <w:rFonts w:ascii="Times New Roman" w:hAnsi="Times New Roman" w:cs="Times New Roman"/>
          <w:b/>
          <w:bCs/>
        </w:rPr>
        <w:t>067</w:t>
      </w:r>
      <w:r w:rsidR="00DA5940" w:rsidRPr="00DE5F4C">
        <w:rPr>
          <w:rFonts w:ascii="Times New Roman" w:hAnsi="Times New Roman" w:cs="Times New Roman"/>
          <w:b/>
          <w:bCs/>
        </w:rPr>
        <w:t xml:space="preserve"> </w:t>
      </w:r>
      <w:r w:rsidR="00752BC8">
        <w:rPr>
          <w:rFonts w:ascii="Times New Roman" w:hAnsi="Times New Roman" w:cs="Times New Roman"/>
          <w:b/>
          <w:bCs/>
        </w:rPr>
        <w:t>295</w:t>
      </w:r>
      <w:r w:rsidRPr="00DE5F4C">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2" w:name="_Hlk35946903"/>
      <w:r w:rsidRPr="3827A91B">
        <w:rPr>
          <w:rStyle w:val="None"/>
          <w:rFonts w:ascii="Times New Roman" w:hAnsi="Times New Roman"/>
        </w:rPr>
        <w:lastRenderedPageBreak/>
        <w:t>Vyšší moc</w:t>
      </w:r>
      <w:bookmarkEnd w:id="2"/>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3"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3"/>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9"/>
      <w:headerReference w:type="first" r:id="rId10"/>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B089F" w14:textId="77777777" w:rsidR="000861B6" w:rsidRDefault="000861B6">
      <w:pPr>
        <w:spacing w:before="0" w:after="0" w:line="240" w:lineRule="auto"/>
      </w:pPr>
      <w:r>
        <w:separator/>
      </w:r>
    </w:p>
  </w:endnote>
  <w:endnote w:type="continuationSeparator" w:id="0">
    <w:p w14:paraId="1489B3BD" w14:textId="77777777" w:rsidR="000861B6" w:rsidRDefault="000861B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1CC3D" w14:textId="77777777" w:rsidR="000861B6" w:rsidRDefault="000861B6">
      <w:pPr>
        <w:spacing w:before="0" w:after="0" w:line="240" w:lineRule="auto"/>
      </w:pPr>
      <w:r>
        <w:separator/>
      </w:r>
    </w:p>
  </w:footnote>
  <w:footnote w:type="continuationSeparator" w:id="0">
    <w:p w14:paraId="6277E54B" w14:textId="77777777" w:rsidR="000861B6" w:rsidRDefault="000861B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F805EB9"/>
    <w:multiLevelType w:val="hybridMultilevel"/>
    <w:tmpl w:val="AE685508"/>
    <w:numStyleLink w:val="ImportedStyle4"/>
  </w:abstractNum>
  <w:abstractNum w:abstractNumId="11"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4" w15:restartNumberingAfterBreak="0">
    <w:nsid w:val="70E41850"/>
    <w:multiLevelType w:val="multilevel"/>
    <w:tmpl w:val="DFF0A5FC"/>
    <w:numStyleLink w:val="ImportedStyle1"/>
  </w:abstractNum>
  <w:abstractNum w:abstractNumId="15"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6"/>
  </w:num>
  <w:num w:numId="2" w16cid:durableId="1995988743">
    <w:abstractNumId w:val="14"/>
  </w:num>
  <w:num w:numId="3" w16cid:durableId="1087844277">
    <w:abstractNumId w:val="9"/>
  </w:num>
  <w:num w:numId="4" w16cid:durableId="1861625201">
    <w:abstractNumId w:val="7"/>
  </w:num>
  <w:num w:numId="5" w16cid:durableId="2026176962">
    <w:abstractNumId w:val="14"/>
  </w:num>
  <w:num w:numId="6" w16cid:durableId="910503200">
    <w:abstractNumId w:val="4"/>
  </w:num>
  <w:num w:numId="7" w16cid:durableId="462430965">
    <w:abstractNumId w:val="10"/>
  </w:num>
  <w:num w:numId="8" w16cid:durableId="1609043729">
    <w:abstractNumId w:val="14"/>
  </w:num>
  <w:num w:numId="9" w16cid:durableId="6374730">
    <w:abstractNumId w:val="7"/>
    <w:lvlOverride w:ilvl="0">
      <w:startOverride w:val="1"/>
      <w:lvl w:ilvl="0" w:tplc="2514C81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7D0B24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172FD58">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7C1F9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8B81F1A">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51A0048">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E422C2">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60447D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3B485A2">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2514C81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7D0B24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172FD58">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C7C1F9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8B81F1A">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51A0048">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6E422C2">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60447D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B485A2">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4"/>
  </w:num>
  <w:num w:numId="12" w16cid:durableId="1987582493">
    <w:abstractNumId w:val="14"/>
    <w:lvlOverride w:ilvl="0">
      <w:startOverride w:val="4"/>
    </w:lvlOverride>
  </w:num>
  <w:num w:numId="13" w16cid:durableId="969168321">
    <w:abstractNumId w:val="7"/>
  </w:num>
  <w:num w:numId="14" w16cid:durableId="1881673714">
    <w:abstractNumId w:val="14"/>
  </w:num>
  <w:num w:numId="15" w16cid:durableId="617759455">
    <w:abstractNumId w:val="7"/>
  </w:num>
  <w:num w:numId="16" w16cid:durableId="332879276">
    <w:abstractNumId w:val="14"/>
  </w:num>
  <w:num w:numId="17" w16cid:durableId="2073502245">
    <w:abstractNumId w:val="7"/>
    <w:lvlOverride w:ilvl="0">
      <w:startOverride w:val="1"/>
      <w:lvl w:ilvl="0" w:tplc="2514C81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7D0B240">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172FD58">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7C1F90">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8B81F1A">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51A0048">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E422C2">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60447DA">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3B485A2">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4"/>
  </w:num>
  <w:num w:numId="19" w16cid:durableId="1169980849">
    <w:abstractNumId w:val="7"/>
    <w:lvlOverride w:ilvl="0">
      <w:startOverride w:val="1"/>
      <w:lvl w:ilvl="0" w:tplc="2514C81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7D0B240">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172FD58">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C7C1F90">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8B81F1A">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51A0048">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6E422C2">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60447DA">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3B485A2">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2514C81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7D0B240">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172FD58">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C7C1F90">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8B81F1A">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51A0048">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6E422C2">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60447DA">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B485A2">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4"/>
  </w:num>
  <w:num w:numId="22" w16cid:durableId="439881880">
    <w:abstractNumId w:val="7"/>
  </w:num>
  <w:num w:numId="23" w16cid:durableId="1102803003">
    <w:abstractNumId w:val="14"/>
  </w:num>
  <w:num w:numId="24" w16cid:durableId="124467570">
    <w:abstractNumId w:val="7"/>
  </w:num>
  <w:num w:numId="25" w16cid:durableId="1802730334">
    <w:abstractNumId w:val="14"/>
  </w:num>
  <w:num w:numId="26" w16cid:durableId="1313365644">
    <w:abstractNumId w:val="1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4"/>
  </w:num>
  <w:num w:numId="29" w16cid:durableId="457456790">
    <w:abstractNumId w:val="2"/>
  </w:num>
  <w:num w:numId="30" w16cid:durableId="1815755086">
    <w:abstractNumId w:val="5"/>
  </w:num>
  <w:num w:numId="31" w16cid:durableId="292752615">
    <w:abstractNumId w:val="15"/>
  </w:num>
  <w:num w:numId="32" w16cid:durableId="695958596">
    <w:abstractNumId w:val="12"/>
  </w:num>
  <w:num w:numId="33" w16cid:durableId="107698056">
    <w:abstractNumId w:val="1"/>
  </w:num>
  <w:num w:numId="34" w16cid:durableId="1884168309">
    <w:abstractNumId w:val="0"/>
  </w:num>
  <w:num w:numId="35" w16cid:durableId="929317092">
    <w:abstractNumId w:val="6"/>
  </w:num>
  <w:num w:numId="36" w16cid:durableId="2013800465">
    <w:abstractNumId w:val="13"/>
  </w:num>
  <w:num w:numId="37" w16cid:durableId="24603248">
    <w:abstractNumId w:val="3"/>
  </w:num>
  <w:num w:numId="38" w16cid:durableId="487791103">
    <w:abstractNumId w:val="8"/>
  </w:num>
  <w:num w:numId="39" w16cid:durableId="17765578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27843"/>
    <w:rsid w:val="00033555"/>
    <w:rsid w:val="00065F2C"/>
    <w:rsid w:val="000861B6"/>
    <w:rsid w:val="000A1193"/>
    <w:rsid w:val="000C2A47"/>
    <w:rsid w:val="000E1B17"/>
    <w:rsid w:val="00163E93"/>
    <w:rsid w:val="00175070"/>
    <w:rsid w:val="001B4638"/>
    <w:rsid w:val="001C76F9"/>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64EE2"/>
    <w:rsid w:val="00386335"/>
    <w:rsid w:val="003F4898"/>
    <w:rsid w:val="00404221"/>
    <w:rsid w:val="0047344B"/>
    <w:rsid w:val="004A05B5"/>
    <w:rsid w:val="004F5C90"/>
    <w:rsid w:val="00566F7C"/>
    <w:rsid w:val="00570061"/>
    <w:rsid w:val="005804F9"/>
    <w:rsid w:val="005853B8"/>
    <w:rsid w:val="005D1D51"/>
    <w:rsid w:val="005D4548"/>
    <w:rsid w:val="006102B2"/>
    <w:rsid w:val="006215E5"/>
    <w:rsid w:val="00631CA6"/>
    <w:rsid w:val="00633DB8"/>
    <w:rsid w:val="00646EA6"/>
    <w:rsid w:val="0064766D"/>
    <w:rsid w:val="006602C6"/>
    <w:rsid w:val="00667C04"/>
    <w:rsid w:val="00670B90"/>
    <w:rsid w:val="006830A4"/>
    <w:rsid w:val="006A5BFA"/>
    <w:rsid w:val="006B6D0F"/>
    <w:rsid w:val="006F0A38"/>
    <w:rsid w:val="00751E2C"/>
    <w:rsid w:val="00752BC8"/>
    <w:rsid w:val="007B488C"/>
    <w:rsid w:val="008003FC"/>
    <w:rsid w:val="008330AB"/>
    <w:rsid w:val="008E6705"/>
    <w:rsid w:val="00900F54"/>
    <w:rsid w:val="00925066"/>
    <w:rsid w:val="00936ABE"/>
    <w:rsid w:val="00942CCC"/>
    <w:rsid w:val="00957D8E"/>
    <w:rsid w:val="0096544A"/>
    <w:rsid w:val="00984B7C"/>
    <w:rsid w:val="009971FE"/>
    <w:rsid w:val="009A6AE9"/>
    <w:rsid w:val="00A36F3F"/>
    <w:rsid w:val="00A4577F"/>
    <w:rsid w:val="00A57000"/>
    <w:rsid w:val="00A625A3"/>
    <w:rsid w:val="00AE0EF9"/>
    <w:rsid w:val="00B31627"/>
    <w:rsid w:val="00BC06B3"/>
    <w:rsid w:val="00BE7E7C"/>
    <w:rsid w:val="00C212FD"/>
    <w:rsid w:val="00C51BDB"/>
    <w:rsid w:val="00C77BEE"/>
    <w:rsid w:val="00C9218A"/>
    <w:rsid w:val="00CA2188"/>
    <w:rsid w:val="00D25C9C"/>
    <w:rsid w:val="00D37171"/>
    <w:rsid w:val="00D57E10"/>
    <w:rsid w:val="00D62D9F"/>
    <w:rsid w:val="00DA5940"/>
    <w:rsid w:val="00DE5F4C"/>
    <w:rsid w:val="00E32546"/>
    <w:rsid w:val="00E92025"/>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006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pourova@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5524</Words>
  <Characters>32598</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10</cp:revision>
  <cp:lastPrinted>2021-03-04T09:12:00Z</cp:lastPrinted>
  <dcterms:created xsi:type="dcterms:W3CDTF">2023-05-12T09:20:00Z</dcterms:created>
  <dcterms:modified xsi:type="dcterms:W3CDTF">2023-09-18T07:46:00Z</dcterms:modified>
</cp:coreProperties>
</file>